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9E5F" w14:textId="31CF6C27" w:rsidR="009E37B9" w:rsidRPr="001F37C5" w:rsidRDefault="00073A98" w:rsidP="00C71533">
      <w:pPr>
        <w:tabs>
          <w:tab w:val="left" w:pos="270"/>
        </w:tabs>
        <w:spacing w:line="276" w:lineRule="auto"/>
        <w:ind w:leftChars="0" w:left="0" w:firstLineChars="0" w:firstLine="0"/>
        <w:jc w:val="both"/>
        <w:rPr>
          <w:rFonts w:asciiTheme="majorHAnsi" w:eastAsia="Arial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AET ELECTRONICS MÜHENDİSLİK SANAYİ TİCARET ANONİM ŞİRKETİ</w:t>
      </w:r>
      <w:r w:rsidR="006B122D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752299" w:rsidRPr="001F37C5">
        <w:rPr>
          <w:rFonts w:asciiTheme="majorHAnsi" w:eastAsia="Arial" w:hAnsiTheme="majorHAnsi" w:cstheme="majorHAnsi"/>
          <w:sz w:val="20"/>
          <w:szCs w:val="20"/>
        </w:rPr>
        <w:t>üst yönetimi olarak;</w:t>
      </w:r>
    </w:p>
    <w:p w14:paraId="24E274B6" w14:textId="77777777" w:rsidR="009E37B9" w:rsidRPr="001F37C5" w:rsidRDefault="009E37B9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</w:p>
    <w:p w14:paraId="1EA42790" w14:textId="0597458C" w:rsidR="009E37B9" w:rsidRPr="001F37C5" w:rsidRDefault="00073A98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AET ELECTRONICS MÜHENDİSLİK SANAYİ TİCARET ANONİM ŞİRKETİ</w:t>
      </w:r>
      <w:r w:rsidR="006B122D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752299" w:rsidRPr="001F37C5">
        <w:rPr>
          <w:rFonts w:asciiTheme="majorHAnsi" w:eastAsia="Arial" w:hAnsiTheme="majorHAnsi" w:cstheme="majorHAnsi"/>
          <w:sz w:val="20"/>
          <w:szCs w:val="20"/>
        </w:rPr>
        <w:t>Hizmetlerinde</w:t>
      </w:r>
      <w:r w:rsidR="00752299" w:rsidRPr="001F37C5">
        <w:rPr>
          <w:rFonts w:asciiTheme="majorHAnsi" w:eastAsia="Arial" w:hAnsiTheme="majorHAnsi" w:cstheme="majorHAnsi"/>
          <w:b/>
          <w:sz w:val="20"/>
          <w:szCs w:val="20"/>
        </w:rPr>
        <w:t>; ISO/IEC 27001:20</w:t>
      </w:r>
      <w:r w:rsidR="00952507" w:rsidRPr="001F37C5">
        <w:rPr>
          <w:rFonts w:asciiTheme="majorHAnsi" w:eastAsia="Arial" w:hAnsiTheme="majorHAnsi" w:cstheme="majorHAnsi"/>
          <w:b/>
          <w:sz w:val="20"/>
          <w:szCs w:val="20"/>
        </w:rPr>
        <w:t>22</w:t>
      </w:r>
      <w:r w:rsidR="00752299" w:rsidRPr="001F37C5">
        <w:rPr>
          <w:rFonts w:asciiTheme="majorHAnsi" w:eastAsia="Arial" w:hAnsiTheme="majorHAnsi" w:cstheme="majorHAnsi"/>
          <w:b/>
          <w:sz w:val="20"/>
          <w:szCs w:val="20"/>
        </w:rPr>
        <w:t xml:space="preserve"> Bilgi Güvenliği Yönetim</w:t>
      </w:r>
    </w:p>
    <w:p w14:paraId="1A8E70B1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b/>
          <w:sz w:val="20"/>
          <w:szCs w:val="20"/>
        </w:rPr>
        <w:t xml:space="preserve"> Sistemi</w:t>
      </w:r>
      <w:r w:rsidRPr="001F37C5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Pr="001F37C5">
        <w:rPr>
          <w:rFonts w:asciiTheme="majorHAnsi" w:eastAsia="Arial" w:hAnsiTheme="majorHAnsi" w:cstheme="majorHAnsi"/>
          <w:b/>
          <w:sz w:val="20"/>
          <w:szCs w:val="20"/>
        </w:rPr>
        <w:t xml:space="preserve">(BGYS) </w:t>
      </w:r>
      <w:r w:rsidRPr="001F37C5">
        <w:rPr>
          <w:rFonts w:asciiTheme="majorHAnsi" w:eastAsia="Arial" w:hAnsiTheme="majorHAnsi" w:cstheme="majorHAnsi"/>
          <w:sz w:val="20"/>
          <w:szCs w:val="20"/>
        </w:rPr>
        <w:t>standardında kurulan sistemlerin ana teması; insan, altyapı, yazılım, donanım, müşteri bilgileri, kuruluş bilgileri, tüm iş ve işlemler, üçüncü şahıslara ait bilgiler ve finansal kaynaklar içerisinde bilgi güvenliği yönetiminin sağlandığını göstermek, kalite ve risk yönetimini güvence altına almak, bilgi-kalite güvenliği yönetimi süreç performansını ölçmek ve kalite-bilgi güvenliği ve müşteri memnuniyeti ile ilgili konularda üçüncü taraflarla olan ilişkilerin düzenlenmesini sağlamaktır.</w:t>
      </w:r>
    </w:p>
    <w:p w14:paraId="658604AC" w14:textId="77777777" w:rsidR="009E37B9" w:rsidRPr="001F37C5" w:rsidRDefault="009E37B9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</w:p>
    <w:p w14:paraId="616E3A89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 xml:space="preserve">Bu doğrultuda </w:t>
      </w:r>
      <w:r w:rsidRPr="001F37C5">
        <w:rPr>
          <w:rFonts w:asciiTheme="majorHAnsi" w:eastAsia="Arial" w:hAnsiTheme="majorHAnsi" w:cstheme="majorHAnsi"/>
          <w:b/>
          <w:i/>
          <w:color w:val="000000"/>
          <w:sz w:val="20"/>
          <w:szCs w:val="20"/>
          <w:u w:val="single"/>
        </w:rPr>
        <w:t>BGYS Politikamızın</w:t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amacı:</w:t>
      </w:r>
    </w:p>
    <w:p w14:paraId="5CC883DE" w14:textId="01CC2455" w:rsidR="009E37B9" w:rsidRPr="001F37C5" w:rsidRDefault="000C22DB">
      <w:pPr>
        <w:numPr>
          <w:ilvl w:val="0"/>
          <w:numId w:val="1"/>
        </w:num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>İçeriden veya dışarıdan, bilerek ya da bilmeyerek meydana gelebilecek her türlü tehdide karşı</w:t>
      </w:r>
      <w:r w:rsidR="003B3865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</w:t>
      </w:r>
      <w:r w:rsidR="00073A98">
        <w:rPr>
          <w:rFonts w:asciiTheme="majorHAnsi" w:eastAsia="Arial" w:hAnsiTheme="majorHAnsi" w:cstheme="majorHAnsi"/>
          <w:b/>
          <w:bCs/>
          <w:color w:val="000000"/>
          <w:sz w:val="20"/>
          <w:szCs w:val="20"/>
        </w:rPr>
        <w:t xml:space="preserve">AET ELECTRONICS MÜHENDİSLİK SANAYİ TİCARET ANONİM ŞİRKETİ</w:t>
      </w:r>
      <w:r w:rsidR="006B122D">
        <w:rPr>
          <w:rFonts w:asciiTheme="majorHAnsi" w:eastAsia="Arial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>bilgi varlıklarını korumak, bilgiye erişebilirliği iş prosesleriyle gerektiği şekilde sağlamak, yasal mevzuat gereksinimlerini karşılamak, sürekli iyileştirmeye yönelik çalışmalar yapmak,</w:t>
      </w:r>
    </w:p>
    <w:p w14:paraId="1377BD48" w14:textId="77777777" w:rsidR="009E37B9" w:rsidRPr="001F37C5" w:rsidRDefault="000C22DB">
      <w:pPr>
        <w:numPr>
          <w:ilvl w:val="0"/>
          <w:numId w:val="1"/>
        </w:num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>Yürütülen tüm faaliyetlerde Bilgi Güvenliği Yönetim Sisteminin üç temel öğesinin sürekliliğini sağlamak.</w:t>
      </w:r>
    </w:p>
    <w:p w14:paraId="73A540A1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b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b/>
          <w:i/>
          <w:color w:val="000000"/>
          <w:sz w:val="20"/>
          <w:szCs w:val="20"/>
          <w:u w:val="single"/>
        </w:rPr>
        <w:t>Gizlilik:</w:t>
      </w:r>
      <w:r w:rsidRPr="001F37C5">
        <w:rPr>
          <w:rFonts w:asciiTheme="majorHAnsi" w:eastAsia="Arial" w:hAnsiTheme="majorHAnsi" w:cstheme="majorHAnsi"/>
          <w:i/>
          <w:color w:val="000000"/>
          <w:sz w:val="20"/>
          <w:szCs w:val="20"/>
        </w:rPr>
        <w:t xml:space="preserve"> </w:t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>Önem taşıyan bilgilere yetkisiz erişimlerin önlenmesi,</w:t>
      </w:r>
    </w:p>
    <w:p w14:paraId="25AD59A6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b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b/>
          <w:i/>
          <w:color w:val="000000"/>
          <w:sz w:val="20"/>
          <w:szCs w:val="20"/>
          <w:u w:val="single"/>
        </w:rPr>
        <w:t>Bütünlük:</w:t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Bilginin doğruluk ve bütünlüğünün sağlandığının gösterilmesi,</w:t>
      </w:r>
    </w:p>
    <w:p w14:paraId="06550435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b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b/>
          <w:i/>
          <w:color w:val="000000"/>
          <w:sz w:val="20"/>
          <w:szCs w:val="20"/>
          <w:u w:val="single"/>
        </w:rPr>
        <w:t>Erişebilirlik:</w:t>
      </w:r>
      <w:r w:rsidRPr="001F37C5">
        <w:rPr>
          <w:rFonts w:asciiTheme="majorHAnsi" w:eastAsia="Arial" w:hAnsiTheme="majorHAnsi" w:cstheme="majorHAnsi"/>
          <w:sz w:val="20"/>
          <w:szCs w:val="20"/>
        </w:rPr>
        <w:t xml:space="preserve"> Yetkisi olanların gerektiği hallerde bilgiye ulaşılabilirliğinin gösterilmesi, </w:t>
      </w:r>
    </w:p>
    <w:p w14:paraId="068F2300" w14:textId="77777777" w:rsidR="009E37B9" w:rsidRPr="001F37C5" w:rsidRDefault="000C22DB">
      <w:p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b/>
          <w:i/>
          <w:color w:val="000000"/>
          <w:sz w:val="20"/>
          <w:szCs w:val="20"/>
          <w:u w:val="single"/>
        </w:rPr>
        <w:t>Liderlik ve Bağlılık:</w:t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Firmamız Üst yönetimi BGYS kurulmasında ve uygulanmasında liderlik etmekte, BGYS uygulamalarına üst düzeyde katılım sağlamaktadır.</w:t>
      </w:r>
    </w:p>
    <w:p w14:paraId="3C3E5DE3" w14:textId="6E8809F9" w:rsidR="009E37B9" w:rsidRPr="001F37C5" w:rsidRDefault="000C22DB">
      <w:pPr>
        <w:numPr>
          <w:ilvl w:val="0"/>
          <w:numId w:val="1"/>
        </w:numPr>
        <w:tabs>
          <w:tab w:val="left" w:pos="270"/>
        </w:tabs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Sadece elektronik ortamda tutulan verilerin değil; yazılı, basılı, sözlü ve benzeri ortamda bulunan tüm verilerin</w:t>
      </w:r>
      <w:r w:rsidR="009B1D4D" w:rsidRPr="001F37C5">
        <w:rPr>
          <w:rFonts w:asciiTheme="majorHAnsi" w:eastAsia="Arial" w:hAnsiTheme="majorHAnsi" w:cstheme="majorHAnsi"/>
          <w:sz w:val="20"/>
          <w:szCs w:val="20"/>
        </w:rPr>
        <w:t xml:space="preserve"> </w:t>
      </w:r>
      <w:r w:rsidRPr="001F37C5">
        <w:rPr>
          <w:rFonts w:asciiTheme="majorHAnsi" w:eastAsia="Arial" w:hAnsiTheme="majorHAnsi" w:cstheme="majorHAnsi"/>
          <w:sz w:val="20"/>
          <w:szCs w:val="20"/>
        </w:rPr>
        <w:t xml:space="preserve">güvenliği ile ilgilenmek. </w:t>
      </w:r>
    </w:p>
    <w:p w14:paraId="3FA4B1B8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Bilgi Güvenliği Yönetimi eğitimlerini tüm personele vererek bilinçlendirmeyi sağlamak.</w:t>
      </w:r>
    </w:p>
    <w:p w14:paraId="2C42BB08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Bilgi Güvenliğindeki gerçekte var olan veya şüphe uyandıran tüm açıklıkların, BGYS Ekibine rapor etmek ve BGYS Ekibi tarafından soruşturulmasını sağlamak.</w:t>
      </w:r>
    </w:p>
    <w:p w14:paraId="170DFDEC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İş süreklilik planları hazırlamak, sürdürmek ve test etmek.</w:t>
      </w:r>
    </w:p>
    <w:p w14:paraId="0ED2FC50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Bilgi Güvenliği konusunda periyodik olarak değerlendirmeler yaparak mevcut riskleri tespit etmek. Değerlendirmeler sonucunda, aksiyon planlarını gözden geçirmek ve takibini yapmak.</w:t>
      </w:r>
    </w:p>
    <w:p w14:paraId="4F2637AB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Sözleşmelerden doğabilecek her türlü anlaşmazlık ve çıkar çatışmasını engellemek.</w:t>
      </w:r>
    </w:p>
    <w:p w14:paraId="08327437" w14:textId="77777777" w:rsidR="009E37B9" w:rsidRPr="001F37C5" w:rsidRDefault="000C22DB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sz w:val="20"/>
          <w:szCs w:val="20"/>
        </w:rPr>
        <w:t>Bilgiye erişilebilirlik ve bilgi sistemleri için iş gereksinimlerini karşılamaktadır.</w:t>
      </w:r>
    </w:p>
    <w:p w14:paraId="12A11456" w14:textId="77777777" w:rsidR="009E37B9" w:rsidRPr="001F37C5" w:rsidRDefault="009E37B9">
      <w:pPr>
        <w:tabs>
          <w:tab w:val="left" w:pos="270"/>
        </w:tabs>
        <w:spacing w:line="360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  <w:u w:val="single"/>
        </w:rPr>
      </w:pPr>
    </w:p>
    <w:p w14:paraId="4895DD1E" w14:textId="77777777" w:rsidR="009E37B9" w:rsidRPr="001F37C5" w:rsidRDefault="009E37B9">
      <w:pPr>
        <w:tabs>
          <w:tab w:val="left" w:pos="270"/>
        </w:tabs>
        <w:spacing w:line="360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38509261" w14:textId="77777777" w:rsidR="009E37B9" w:rsidRPr="001F37C5" w:rsidRDefault="000C22DB">
      <w:pPr>
        <w:tabs>
          <w:tab w:val="left" w:pos="270"/>
        </w:tabs>
        <w:spacing w:line="360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>Taahhüt ederiz.</w:t>
      </w:r>
    </w:p>
    <w:p w14:paraId="060C5BD9" w14:textId="77777777" w:rsidR="009E37B9" w:rsidRPr="001F37C5" w:rsidRDefault="009E37B9">
      <w:pPr>
        <w:tabs>
          <w:tab w:val="left" w:pos="270"/>
        </w:tabs>
        <w:spacing w:line="360" w:lineRule="auto"/>
        <w:ind w:left="0" w:hanging="2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p w14:paraId="232C47AF" w14:textId="27BDC582" w:rsidR="009E37B9" w:rsidRPr="001F37C5" w:rsidRDefault="000C22DB">
      <w:pPr>
        <w:tabs>
          <w:tab w:val="left" w:pos="270"/>
        </w:tabs>
        <w:spacing w:line="360" w:lineRule="auto"/>
        <w:ind w:left="0" w:hanging="2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ab/>
      </w:r>
      <w:r w:rsidR="0075352B" w:rsidRPr="001F37C5">
        <w:rPr>
          <w:rFonts w:asciiTheme="majorHAnsi" w:eastAsia="Arial" w:hAnsiTheme="majorHAnsi" w:cstheme="majorHAnsi"/>
          <w:color w:val="000000"/>
          <w:sz w:val="20"/>
          <w:szCs w:val="20"/>
        </w:rPr>
        <w:t xml:space="preserve">                                     </w:t>
      </w:r>
    </w:p>
    <w:sectPr w:rsidR="009E37B9" w:rsidRPr="001F37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2" w:bottom="1418" w:left="1418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2547" w14:textId="77777777" w:rsidR="005252C1" w:rsidRDefault="005252C1">
      <w:pPr>
        <w:spacing w:line="240" w:lineRule="auto"/>
        <w:ind w:left="0" w:hanging="2"/>
      </w:pPr>
      <w:r>
        <w:separator/>
      </w:r>
    </w:p>
  </w:endnote>
  <w:endnote w:type="continuationSeparator" w:id="0">
    <w:p w14:paraId="73241F97" w14:textId="77777777" w:rsidR="005252C1" w:rsidRDefault="005252C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7F16" w14:textId="77777777" w:rsidR="009E37B9" w:rsidRDefault="009E37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338C" w14:textId="77777777" w:rsidR="0075352B" w:rsidRPr="001F37C5" w:rsidRDefault="000C22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1F37C5">
      <w:rPr>
        <w:rFonts w:asciiTheme="majorHAnsi" w:hAnsiTheme="majorHAnsi" w:cstheme="majorHAnsi"/>
        <w:color w:val="000000"/>
        <w:sz w:val="20"/>
        <w:szCs w:val="20"/>
      </w:rPr>
      <w:t xml:space="preserve">                                                                                      </w:t>
    </w:r>
  </w:p>
  <w:p w14:paraId="455210FC" w14:textId="4BB421EB" w:rsidR="0075352B" w:rsidRPr="00C71533" w:rsidRDefault="007535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Theme="majorHAnsi" w:hAnsiTheme="majorHAnsi" w:cstheme="majorHAnsi"/>
        <w:b/>
        <w:bCs/>
        <w:color w:val="000000"/>
        <w:sz w:val="20"/>
        <w:szCs w:val="20"/>
      </w:rPr>
    </w:pPr>
    <w:r w:rsidRPr="001F37C5">
      <w:rPr>
        <w:rFonts w:asciiTheme="majorHAnsi" w:hAnsiTheme="majorHAnsi" w:cstheme="majorHAnsi"/>
        <w:color w:val="000000"/>
        <w:sz w:val="20"/>
        <w:szCs w:val="20"/>
      </w:rPr>
      <w:t xml:space="preserve">                                                                                                       </w:t>
    </w:r>
    <w:r w:rsidR="00C71533">
      <w:rPr>
        <w:rFonts w:asciiTheme="majorHAnsi" w:hAnsiTheme="majorHAnsi" w:cstheme="majorHAnsi"/>
        <w:color w:val="000000"/>
        <w:sz w:val="20"/>
        <w:szCs w:val="20"/>
      </w:rPr>
      <w:t xml:space="preserve">     </w:t>
    </w:r>
    <w:r w:rsidR="002204F1">
      <w:rPr>
        <w:rFonts w:asciiTheme="majorHAnsi" w:hAnsiTheme="majorHAnsi" w:cstheme="majorHAnsi"/>
        <w:b/>
        <w:bCs/>
        <w:color w:val="000000"/>
        <w:sz w:val="20"/>
        <w:szCs w:val="20"/>
      </w:rPr>
      <w:t>01.0</w:t>
    </w:r>
    <w:r w:rsidR="006B122D">
      <w:rPr>
        <w:rFonts w:asciiTheme="majorHAnsi" w:hAnsiTheme="majorHAnsi" w:cstheme="majorHAnsi"/>
        <w:b/>
        <w:bCs/>
        <w:color w:val="000000"/>
        <w:sz w:val="20"/>
        <w:szCs w:val="20"/>
      </w:rPr>
      <w:t>2</w:t>
    </w:r>
    <w:r w:rsidR="003A2483">
      <w:rPr>
        <w:rFonts w:asciiTheme="majorHAnsi" w:hAnsiTheme="majorHAnsi" w:cstheme="majorHAnsi"/>
        <w:b/>
        <w:bCs/>
        <w:color w:val="000000"/>
        <w:sz w:val="20"/>
        <w:szCs w:val="20"/>
      </w:rPr>
      <w:t>.2025</w:t>
    </w:r>
  </w:p>
  <w:p w14:paraId="5477AE29" w14:textId="085EBA09" w:rsidR="009E37B9" w:rsidRPr="001F37C5" w:rsidRDefault="007535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1F37C5">
      <w:rPr>
        <w:rFonts w:asciiTheme="majorHAnsi" w:hAnsiTheme="majorHAnsi" w:cstheme="majorHAnsi"/>
        <w:b/>
        <w:color w:val="000000"/>
        <w:sz w:val="20"/>
        <w:szCs w:val="20"/>
      </w:rPr>
      <w:t xml:space="preserve">                                                                                                             GENEL MÜDÜR                                                                    </w:t>
    </w:r>
  </w:p>
  <w:p w14:paraId="0E6133C3" w14:textId="77777777" w:rsidR="009E37B9" w:rsidRPr="001F37C5" w:rsidRDefault="000C22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Theme="majorHAnsi" w:hAnsiTheme="majorHAnsi" w:cstheme="majorHAnsi"/>
        <w:color w:val="000000"/>
        <w:sz w:val="20"/>
        <w:szCs w:val="20"/>
      </w:rPr>
    </w:pPr>
    <w:r w:rsidRPr="001F37C5">
      <w:rPr>
        <w:rFonts w:asciiTheme="majorHAnsi" w:hAnsiTheme="majorHAnsi" w:cstheme="majorHAnsi"/>
        <w:b/>
        <w:color w:val="000000"/>
        <w:sz w:val="20"/>
        <w:szCs w:val="20"/>
      </w:rPr>
      <w:t>BGYS.PLT.00</w:t>
    </w:r>
  </w:p>
  <w:p w14:paraId="420B83A6" w14:textId="629091DC" w:rsidR="009E37B9" w:rsidRPr="001F37C5" w:rsidRDefault="006B12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Theme="majorHAnsi" w:hAnsiTheme="majorHAnsi" w:cstheme="majorHAnsi"/>
        <w:color w:val="000000"/>
        <w:sz w:val="20"/>
        <w:szCs w:val="20"/>
      </w:rPr>
    </w:pPr>
    <w:r>
      <w:rPr>
        <w:rFonts w:asciiTheme="majorHAnsi" w:hAnsiTheme="majorHAnsi" w:cstheme="majorHAnsi"/>
        <w:b/>
        <w:color w:val="000000"/>
        <w:sz w:val="20"/>
        <w:szCs w:val="20"/>
      </w:rPr>
      <w:t>01.01.2025</w:t>
    </w:r>
    <w:r w:rsidR="0075352B" w:rsidRPr="001F37C5">
      <w:rPr>
        <w:rFonts w:asciiTheme="majorHAnsi" w:hAnsiTheme="majorHAnsi" w:cstheme="majorHAnsi"/>
        <w:b/>
        <w:color w:val="000000"/>
        <w:sz w:val="20"/>
        <w:szCs w:val="20"/>
      </w:rPr>
      <w:t>/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7144" w14:textId="77777777" w:rsidR="009E37B9" w:rsidRDefault="009E37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5BE3B" w14:textId="77777777" w:rsidR="005252C1" w:rsidRDefault="005252C1">
      <w:pPr>
        <w:spacing w:line="240" w:lineRule="auto"/>
        <w:ind w:left="0" w:hanging="2"/>
      </w:pPr>
      <w:r>
        <w:separator/>
      </w:r>
    </w:p>
  </w:footnote>
  <w:footnote w:type="continuationSeparator" w:id="0">
    <w:p w14:paraId="4E97B24E" w14:textId="77777777" w:rsidR="005252C1" w:rsidRDefault="005252C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DA3F0" w14:textId="77777777" w:rsidR="009E37B9" w:rsidRDefault="009E37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AD75" w14:textId="6CB0EF91" w:rsidR="009E37B9" w:rsidRPr="0075352B" w:rsidRDefault="009E37B9">
    <w:pPr>
      <w:ind w:left="0" w:hanging="2"/>
      <w:rPr>
        <w:rFonts w:asciiTheme="majorHAnsi" w:hAnsiTheme="majorHAnsi" w:cstheme="majorHAnsi"/>
        <w:sz w:val="20"/>
        <w:szCs w:val="20"/>
      </w:rPr>
    </w:pPr>
  </w:p>
  <w:tbl>
    <w:tblPr>
      <w:tblStyle w:val="a1"/>
      <w:tblW w:w="9640" w:type="dxa"/>
      <w:tblInd w:w="-34" w:type="dxa"/>
      <w:tblBorders>
        <w:top w:val="single" w:sz="8" w:space="0" w:color="4BACC6"/>
        <w:left w:val="nil"/>
        <w:bottom w:val="single" w:sz="8" w:space="0" w:color="4BACC6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456"/>
      <w:gridCol w:w="7184"/>
    </w:tblGrid>
    <w:tr w:rsidR="009E37B9" w:rsidRPr="0075352B" w14:paraId="6454DD17" w14:textId="77777777">
      <w:trPr>
        <w:trHeight w:val="973"/>
      </w:trPr>
      <w:tc>
        <w:tcPr>
          <w:tcW w:w="2456" w:type="dxa"/>
          <w:tcBorders>
            <w:top w:val="nil"/>
            <w:left w:val="nil"/>
            <w:bottom w:val="nil"/>
            <w:right w:val="nil"/>
          </w:tcBorders>
        </w:tcPr>
        <w:p w14:paraId="3BC25053" w14:textId="12FCF890" w:rsidR="009E37B9" w:rsidRPr="001F37C5" w:rsidRDefault="00501595" w:rsidP="00420266">
          <w:pPr>
            <w:suppressAutoHyphens w:val="0"/>
            <w:spacing w:before="100" w:beforeAutospacing="1" w:after="100" w:afterAutospacing="1" w:line="240" w:lineRule="auto"/>
            <w:ind w:leftChars="0" w:left="0" w:firstLineChars="0" w:hanging="2"/>
            <w:textDirection w:val="lrTb"/>
            <w:textAlignment w:val="auto"/>
            <w:outlineLvl w:val="9"/>
            <w:rPr>
              <w:rFonts w:ascii="Times New Roman" w:hAnsi="Times New Roman" w:cs="Times New Roman"/>
              <w:noProof/>
              <w:position w:val="0"/>
            </w:rPr>
          </w:pPr>
          <w:r>
            <w:rPr>
              <w:noProof/>
            </w:rPr>
            <w:t xml:space="preserve">logos\aet_electronics.png</w:t>
          </w:r>
        </w:p>
      </w:tc>
      <w:tc>
        <w:tcPr>
          <w:tcW w:w="7184" w:type="dxa"/>
          <w:tcBorders>
            <w:top w:val="nil"/>
            <w:left w:val="nil"/>
            <w:bottom w:val="nil"/>
            <w:right w:val="nil"/>
          </w:tcBorders>
        </w:tcPr>
        <w:p w14:paraId="28904C6E" w14:textId="77777777" w:rsidR="009E37B9" w:rsidRPr="0075352B" w:rsidRDefault="000C22DB">
          <w:pPr>
            <w:ind w:left="0" w:hanging="2"/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 w:rsidRPr="0075352B">
            <w:rPr>
              <w:rFonts w:asciiTheme="majorHAnsi" w:hAnsiTheme="majorHAnsi" w:cstheme="majorHAnsi"/>
              <w:b/>
              <w:sz w:val="20"/>
              <w:szCs w:val="20"/>
            </w:rPr>
            <w:t>BİLGİ-KALİTE GÜVENLİĞİ YÖNETİM SİSTEMİ POLİTİKASI</w:t>
          </w:r>
        </w:p>
        <w:p w14:paraId="42D0EE5A" w14:textId="77777777" w:rsidR="009E37B9" w:rsidRPr="0075352B" w:rsidRDefault="000C22DB">
          <w:pPr>
            <w:ind w:left="0" w:right="-78" w:hanging="2"/>
            <w:jc w:val="center"/>
            <w:rPr>
              <w:rFonts w:asciiTheme="majorHAnsi" w:eastAsia="Arial" w:hAnsiTheme="majorHAnsi" w:cstheme="majorHAnsi"/>
              <w:color w:val="5F497A"/>
              <w:sz w:val="20"/>
              <w:szCs w:val="20"/>
            </w:rPr>
          </w:pPr>
          <w:r w:rsidRPr="0075352B">
            <w:rPr>
              <w:rFonts w:asciiTheme="majorHAnsi" w:hAnsiTheme="majorHAnsi" w:cstheme="majorHAnsi"/>
              <w:b/>
              <w:sz w:val="20"/>
              <w:szCs w:val="20"/>
            </w:rPr>
            <w:t>BGYS.PLT.00</w:t>
          </w:r>
        </w:p>
      </w:tc>
    </w:tr>
  </w:tbl>
  <w:p w14:paraId="26B2B8DD" w14:textId="77777777" w:rsidR="009E37B9" w:rsidRPr="0075352B" w:rsidRDefault="009E37B9" w:rsidP="00D426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rFonts w:asciiTheme="majorHAnsi" w:hAnsiTheme="majorHAnsi" w:cstheme="majorHAnsi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10A3" w14:textId="77777777" w:rsidR="009E37B9" w:rsidRDefault="009E37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1E16"/>
    <w:multiLevelType w:val="multilevel"/>
    <w:tmpl w:val="D180C69A"/>
    <w:lvl w:ilvl="0">
      <w:start w:val="1"/>
      <w:numFmt w:val="bullet"/>
      <w:lvlText w:val="❖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487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B9"/>
    <w:rsid w:val="00023168"/>
    <w:rsid w:val="00025655"/>
    <w:rsid w:val="000502B9"/>
    <w:rsid w:val="00073A98"/>
    <w:rsid w:val="00092B4C"/>
    <w:rsid w:val="000C22DB"/>
    <w:rsid w:val="000F4A42"/>
    <w:rsid w:val="00136817"/>
    <w:rsid w:val="001560EC"/>
    <w:rsid w:val="001A4359"/>
    <w:rsid w:val="001A534D"/>
    <w:rsid w:val="001F37C5"/>
    <w:rsid w:val="002204F1"/>
    <w:rsid w:val="00272DF3"/>
    <w:rsid w:val="002840DB"/>
    <w:rsid w:val="002A17E8"/>
    <w:rsid w:val="002B1B70"/>
    <w:rsid w:val="00324196"/>
    <w:rsid w:val="00356A81"/>
    <w:rsid w:val="003924E3"/>
    <w:rsid w:val="003A1E19"/>
    <w:rsid w:val="003A2483"/>
    <w:rsid w:val="003B3865"/>
    <w:rsid w:val="003C736B"/>
    <w:rsid w:val="003E0CC8"/>
    <w:rsid w:val="003E4EC7"/>
    <w:rsid w:val="003E6B73"/>
    <w:rsid w:val="00404432"/>
    <w:rsid w:val="00420266"/>
    <w:rsid w:val="00445959"/>
    <w:rsid w:val="0048649F"/>
    <w:rsid w:val="00494002"/>
    <w:rsid w:val="004B5854"/>
    <w:rsid w:val="004E0E5F"/>
    <w:rsid w:val="00501595"/>
    <w:rsid w:val="005252C1"/>
    <w:rsid w:val="0052755E"/>
    <w:rsid w:val="00564EF8"/>
    <w:rsid w:val="005775F0"/>
    <w:rsid w:val="005D194A"/>
    <w:rsid w:val="005D32EC"/>
    <w:rsid w:val="00676B82"/>
    <w:rsid w:val="006B122D"/>
    <w:rsid w:val="00717692"/>
    <w:rsid w:val="00751CDC"/>
    <w:rsid w:val="00752299"/>
    <w:rsid w:val="0075352B"/>
    <w:rsid w:val="00772CD3"/>
    <w:rsid w:val="008C2647"/>
    <w:rsid w:val="008F33B7"/>
    <w:rsid w:val="00952507"/>
    <w:rsid w:val="009B1D4D"/>
    <w:rsid w:val="009E37B9"/>
    <w:rsid w:val="009F77F0"/>
    <w:rsid w:val="00A20E5E"/>
    <w:rsid w:val="00A91A0C"/>
    <w:rsid w:val="00B656E4"/>
    <w:rsid w:val="00B91E9F"/>
    <w:rsid w:val="00BB16EB"/>
    <w:rsid w:val="00BE62AA"/>
    <w:rsid w:val="00C71533"/>
    <w:rsid w:val="00C877F4"/>
    <w:rsid w:val="00D302CE"/>
    <w:rsid w:val="00D4265B"/>
    <w:rsid w:val="00E474AF"/>
    <w:rsid w:val="00E8179E"/>
    <w:rsid w:val="00E83B98"/>
    <w:rsid w:val="00EE6076"/>
    <w:rsid w:val="00F56133"/>
    <w:rsid w:val="00F6531C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D4567"/>
  <w15:docId w15:val="{9CAFB994-D136-4E12-BCFE-F7694EAD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tr-TR" w:eastAsia="tr-T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qFormat/>
    <w:pPr>
      <w:tabs>
        <w:tab w:val="center" w:pos="4536"/>
        <w:tab w:val="right" w:pos="9072"/>
      </w:tabs>
    </w:pPr>
  </w:style>
  <w:style w:type="character" w:customStyle="1" w:styleId="stBilgiChar">
    <w:name w:val="Üst Bilgi Char"/>
    <w:rPr>
      <w:rFonts w:ascii="Tahoma" w:eastAsia="Times New Roman" w:hAnsi="Tahoma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tr-TR"/>
    </w:rPr>
  </w:style>
  <w:style w:type="paragraph" w:styleId="AltBilgi">
    <w:name w:val="footer"/>
    <w:basedOn w:val="Normal"/>
    <w:qFormat/>
    <w:pPr>
      <w:tabs>
        <w:tab w:val="center" w:pos="4536"/>
        <w:tab w:val="right" w:pos="9072"/>
      </w:tabs>
    </w:pPr>
  </w:style>
  <w:style w:type="character" w:customStyle="1" w:styleId="AltBilgiChar">
    <w:name w:val="Alt Bilgi Char"/>
    <w:rPr>
      <w:rFonts w:ascii="Tahoma" w:eastAsia="Times New Roman" w:hAnsi="Tahoma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tr-TR"/>
    </w:rPr>
  </w:style>
  <w:style w:type="paragraph" w:styleId="BalonMetni">
    <w:name w:val="Balloon Text"/>
    <w:basedOn w:val="Normal"/>
    <w:qFormat/>
    <w:rPr>
      <w:sz w:val="16"/>
      <w:szCs w:val="16"/>
    </w:rPr>
  </w:style>
  <w:style w:type="character" w:customStyle="1" w:styleId="BalonMetniChar">
    <w:name w:val="Balon Metni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tr-TR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kGlgeleme-Vurgu5">
    <w:name w:val="Light Shading Accent 5"/>
    <w:basedOn w:val="NormalTablo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styleId="AkGlgeleme-Vurgu4">
    <w:name w:val="Light Shading Accent 4"/>
    <w:basedOn w:val="NormalTablo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5F497A"/>
      <w:position w:val="-1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</w:style>
  <w:style w:type="paragraph" w:styleId="ListeParagraf">
    <w:name w:val="List Paragraph"/>
    <w:basedOn w:val="Normal"/>
    <w:uiPriority w:val="34"/>
    <w:qFormat/>
    <w:pPr>
      <w:ind w:left="708"/>
    </w:pPr>
  </w:style>
  <w:style w:type="table" w:styleId="AkListe-Vurgu5">
    <w:name w:val="Light List Accent 5"/>
    <w:basedOn w:val="NormalTablo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styleId="AkListe-Vurgu6">
    <w:name w:val="Light List Accent 6"/>
    <w:basedOn w:val="NormalTablo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</w:style>
  <w:style w:type="character" w:styleId="AklamaBavurusu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lamaMetni">
    <w:name w:val="annotation text"/>
    <w:basedOn w:val="Normal"/>
    <w:qFormat/>
    <w:rPr>
      <w:sz w:val="20"/>
      <w:szCs w:val="20"/>
    </w:rPr>
  </w:style>
  <w:style w:type="character" w:customStyle="1" w:styleId="AklamaMetniChar">
    <w:name w:val="Açıklama Metni Char"/>
    <w:rPr>
      <w:rFonts w:ascii="Tahoma" w:eastAsia="Times New Roman" w:hAnsi="Tahoma"/>
      <w:w w:val="100"/>
      <w:position w:val="-1"/>
      <w:effect w:val="none"/>
      <w:vertAlign w:val="baseline"/>
      <w:cs w:val="0"/>
      <w:em w:val="none"/>
    </w:rPr>
  </w:style>
  <w:style w:type="paragraph" w:styleId="AklamaKonusu">
    <w:name w:val="annotation subject"/>
    <w:basedOn w:val="AklamaMetni"/>
    <w:next w:val="AklamaMetni"/>
    <w:qFormat/>
    <w:rPr>
      <w:b/>
      <w:bCs/>
    </w:rPr>
  </w:style>
  <w:style w:type="character" w:customStyle="1" w:styleId="AklamaKonusuChar">
    <w:name w:val="Açıklama Konusu Char"/>
    <w:rPr>
      <w:rFonts w:ascii="Tahoma" w:eastAsia="Times New Roman" w:hAnsi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443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g9nVs2nM4RmPHgHRrsCOzxZ29A==">AMUW2mVLgH+vQjSFcaWJtADeSk4bGnajk3Zwo0AQUAgv97mlYe4mQAFdaLQENR7j44qaOg4rjwL/BwUZoEEJL8fJ7XLHebCrdIPA492qVFkGaUUCgHwFplM=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FERHAT</dc:creator>
  <cp:lastModifiedBy>bt c.</cp:lastModifiedBy>
  <cp:revision>46</cp:revision>
  <dcterms:created xsi:type="dcterms:W3CDTF">2022-04-28T13:21:00Z</dcterms:created>
  <dcterms:modified xsi:type="dcterms:W3CDTF">2025-11-17T10:50:00Z</dcterms:modified>
  <dc:description/>
  <dc:identifier/>
  <dc:language/>
  <dc:subject/>
  <dc:title/>
</cp:coreProperties>
</file>